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FDD" w14:textId="06D9CA31" w:rsidR="00E82CFB" w:rsidRPr="00E82CFB" w:rsidRDefault="00E82CFB" w:rsidP="00E82CFB">
      <w:pPr>
        <w:rPr>
          <w:lang w:eastAsia="en-US"/>
        </w:rPr>
      </w:pPr>
      <w:r w:rsidRPr="00E82CFB">
        <w:rPr>
          <w:lang w:eastAsia="en-US"/>
        </w:rPr>
        <w:t>EBCS Annual Members</w:t>
      </w:r>
      <w:r>
        <w:rPr>
          <w:lang w:eastAsia="en-US"/>
        </w:rPr>
        <w:t>’</w:t>
      </w:r>
      <w:r w:rsidRPr="00E82CFB">
        <w:rPr>
          <w:lang w:eastAsia="en-US"/>
        </w:rPr>
        <w:t xml:space="preserve"> M</w:t>
      </w:r>
      <w:r>
        <w:rPr>
          <w:lang w:eastAsia="en-US"/>
        </w:rPr>
        <w:t>eeting</w:t>
      </w:r>
    </w:p>
    <w:p w14:paraId="4E56751E" w14:textId="77777777" w:rsidR="00E82CFB" w:rsidRDefault="00E82CFB" w:rsidP="00E82CFB">
      <w:pPr>
        <w:rPr>
          <w:lang w:eastAsia="en-US"/>
        </w:rPr>
      </w:pPr>
    </w:p>
    <w:p w14:paraId="3EA6A293" w14:textId="1C4E5594" w:rsidR="00E82CFB" w:rsidRDefault="00E82CFB" w:rsidP="00E82CFB">
      <w:pPr>
        <w:rPr>
          <w:lang w:eastAsia="en-US"/>
        </w:rPr>
      </w:pPr>
      <w:r>
        <w:rPr>
          <w:lang w:eastAsia="en-US"/>
        </w:rPr>
        <w:t>7:30, 6</w:t>
      </w:r>
      <w:r w:rsidRPr="00E82CFB">
        <w:rPr>
          <w:vertAlign w:val="superscript"/>
          <w:lang w:eastAsia="en-US"/>
        </w:rPr>
        <w:t>th</w:t>
      </w:r>
      <w:r>
        <w:rPr>
          <w:lang w:eastAsia="en-US"/>
        </w:rPr>
        <w:t xml:space="preserve"> April 2022 – Dane End, Heath Lane, East Boldre, SO42 7WF</w:t>
      </w:r>
    </w:p>
    <w:p w14:paraId="35C86B87" w14:textId="77777777" w:rsidR="00E82CFB" w:rsidRDefault="00E82CFB" w:rsidP="00E82CFB">
      <w:pPr>
        <w:rPr>
          <w:lang w:eastAsia="en-US"/>
        </w:rPr>
      </w:pPr>
    </w:p>
    <w:p w14:paraId="4523C6E7" w14:textId="77777777" w:rsidR="00031AE8" w:rsidRPr="00312D6B" w:rsidRDefault="00E82CFB" w:rsidP="00E82CFB">
      <w:pPr>
        <w:rPr>
          <w:b/>
          <w:bCs/>
          <w:color w:val="000000" w:themeColor="text1"/>
          <w:lang w:eastAsia="en-US"/>
        </w:rPr>
      </w:pPr>
      <w:r w:rsidRPr="00312D6B">
        <w:rPr>
          <w:b/>
          <w:bCs/>
          <w:color w:val="000000" w:themeColor="text1"/>
          <w:lang w:eastAsia="en-US"/>
        </w:rPr>
        <w:t>Present</w:t>
      </w:r>
    </w:p>
    <w:p w14:paraId="595DD993" w14:textId="77777777" w:rsidR="00031AE8" w:rsidRDefault="00031AE8" w:rsidP="00E82CFB">
      <w:pPr>
        <w:rPr>
          <w:color w:val="0070C0"/>
          <w:lang w:eastAsia="en-US"/>
        </w:rPr>
      </w:pPr>
      <w:r>
        <w:rPr>
          <w:color w:val="0070C0"/>
          <w:lang w:eastAsia="en-US"/>
        </w:rPr>
        <w:t>Chair – Anna Rostand</w:t>
      </w:r>
    </w:p>
    <w:p w14:paraId="4A6E7F23" w14:textId="77777777" w:rsidR="00031AE8" w:rsidRDefault="00031AE8" w:rsidP="00E82CFB">
      <w:pPr>
        <w:rPr>
          <w:color w:val="0070C0"/>
          <w:lang w:eastAsia="en-US"/>
        </w:rPr>
      </w:pPr>
      <w:r>
        <w:rPr>
          <w:color w:val="0070C0"/>
          <w:lang w:eastAsia="en-US"/>
        </w:rPr>
        <w:t>Treasurer - Mike Hawker</w:t>
      </w:r>
    </w:p>
    <w:p w14:paraId="26539ADA" w14:textId="77777777" w:rsidR="00031AE8" w:rsidRDefault="00031AE8" w:rsidP="00E82CFB">
      <w:pPr>
        <w:rPr>
          <w:color w:val="0070C0"/>
          <w:lang w:eastAsia="en-US"/>
        </w:rPr>
      </w:pPr>
      <w:r>
        <w:rPr>
          <w:color w:val="0070C0"/>
          <w:lang w:eastAsia="en-US"/>
        </w:rPr>
        <w:t>Secretary – Rebecca Gabzdyl</w:t>
      </w:r>
    </w:p>
    <w:p w14:paraId="5E61E2E8" w14:textId="3F4D21F1" w:rsidR="00E82CFB" w:rsidRPr="00E82CFB" w:rsidRDefault="00031AE8" w:rsidP="00E82CFB">
      <w:pPr>
        <w:rPr>
          <w:color w:val="0070C0"/>
          <w:lang w:eastAsia="en-US"/>
        </w:rPr>
      </w:pPr>
      <w:r>
        <w:rPr>
          <w:color w:val="0070C0"/>
          <w:lang w:eastAsia="en-US"/>
        </w:rPr>
        <w:t>Nick Thompson.</w:t>
      </w:r>
    </w:p>
    <w:p w14:paraId="645CDDA3" w14:textId="77777777" w:rsidR="00031AE8" w:rsidRDefault="00031AE8" w:rsidP="00E82CFB">
      <w:pPr>
        <w:rPr>
          <w:color w:val="000000" w:themeColor="text1"/>
          <w:lang w:val="fr-FR" w:eastAsia="en-US"/>
        </w:rPr>
      </w:pPr>
    </w:p>
    <w:p w14:paraId="0E7CE7BA" w14:textId="28AF33A4" w:rsidR="00031AE8" w:rsidRPr="00312D6B" w:rsidRDefault="00E82CFB" w:rsidP="00E82CFB">
      <w:pPr>
        <w:rPr>
          <w:b/>
          <w:bCs/>
          <w:color w:val="0070C0"/>
          <w:lang w:val="fr-FR" w:eastAsia="en-US"/>
        </w:rPr>
      </w:pPr>
      <w:r w:rsidRPr="00312D6B">
        <w:rPr>
          <w:b/>
          <w:bCs/>
          <w:color w:val="000000" w:themeColor="text1"/>
          <w:lang w:val="fr-FR" w:eastAsia="en-US"/>
        </w:rPr>
        <w:t>Apologies</w:t>
      </w:r>
    </w:p>
    <w:p w14:paraId="6C4ABAF7" w14:textId="4F206428" w:rsidR="00E82CFB" w:rsidRDefault="00031AE8" w:rsidP="00E82CFB">
      <w:pPr>
        <w:rPr>
          <w:color w:val="0070C0"/>
          <w:lang w:val="fr-FR" w:eastAsia="en-US"/>
        </w:rPr>
      </w:pPr>
      <w:r>
        <w:rPr>
          <w:color w:val="0070C0"/>
          <w:lang w:val="fr-FR" w:eastAsia="en-US"/>
        </w:rPr>
        <w:t>Judith Richardson</w:t>
      </w:r>
    </w:p>
    <w:p w14:paraId="2F1FF205" w14:textId="77777777" w:rsidR="00E82CFB" w:rsidRPr="00E82CFB" w:rsidRDefault="00E82CFB" w:rsidP="00E82CFB">
      <w:pPr>
        <w:rPr>
          <w:color w:val="0070C0"/>
          <w:lang w:val="fr-FR" w:eastAsia="en-US"/>
        </w:rPr>
      </w:pPr>
    </w:p>
    <w:p w14:paraId="09F38A06" w14:textId="77777777" w:rsidR="00E82CFB" w:rsidRPr="00031AE8" w:rsidRDefault="00E82CFB" w:rsidP="00031AE8">
      <w:pPr>
        <w:rPr>
          <w:rFonts w:eastAsia="Times New Roman"/>
          <w:lang w:eastAsia="en-US"/>
        </w:rPr>
      </w:pPr>
      <w:r w:rsidRPr="00031AE8">
        <w:rPr>
          <w:rFonts w:eastAsia="Times New Roman"/>
          <w:lang w:eastAsia="en-US"/>
        </w:rPr>
        <w:t>Review business and affairs report for the accounting period to the 31/3/22 – RG</w:t>
      </w:r>
    </w:p>
    <w:p w14:paraId="5F02B80F" w14:textId="26105F3E" w:rsidR="00E82CFB" w:rsidRDefault="00E82CFB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Key elements incorporated into AR30 attached</w:t>
      </w:r>
    </w:p>
    <w:p w14:paraId="51F79AC7" w14:textId="1A7E5244" w:rsidR="00031AE8" w:rsidRDefault="00031AE8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We have been a</w:t>
      </w:r>
      <w:r w:rsidR="00E82CFB">
        <w:rPr>
          <w:color w:val="0070C0"/>
          <w:lang w:eastAsia="en-US"/>
        </w:rPr>
        <w:t>n effective, financially prudent team</w:t>
      </w:r>
      <w:r>
        <w:rPr>
          <w:color w:val="0070C0"/>
          <w:lang w:eastAsia="en-US"/>
        </w:rPr>
        <w:t>.</w:t>
      </w:r>
    </w:p>
    <w:p w14:paraId="10A91108" w14:textId="3281DCC4" w:rsidR="00E82CFB" w:rsidRDefault="00E82CFB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 xml:space="preserve">Good fundraising success and </w:t>
      </w:r>
      <w:r w:rsidR="00031AE8">
        <w:rPr>
          <w:color w:val="0070C0"/>
          <w:lang w:eastAsia="en-US"/>
        </w:rPr>
        <w:t xml:space="preserve">detailed </w:t>
      </w:r>
      <w:r>
        <w:rPr>
          <w:color w:val="0070C0"/>
          <w:lang w:eastAsia="en-US"/>
        </w:rPr>
        <w:t>business planning</w:t>
      </w:r>
    </w:p>
    <w:p w14:paraId="2D8192AF" w14:textId="77777777" w:rsidR="00031AE8" w:rsidRDefault="00E82CFB" w:rsidP="00031AE8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Such a shame that the effort came to nothing</w:t>
      </w:r>
      <w:r w:rsidR="00031AE8">
        <w:rPr>
          <w:color w:val="0070C0"/>
          <w:lang w:eastAsia="en-US"/>
        </w:rPr>
        <w:t xml:space="preserve"> – at least the village kept its shop</w:t>
      </w:r>
    </w:p>
    <w:p w14:paraId="5D86568A" w14:textId="77777777" w:rsidR="00031AE8" w:rsidRDefault="00031AE8" w:rsidP="00031AE8">
      <w:pPr>
        <w:ind w:left="360"/>
        <w:rPr>
          <w:color w:val="0070C0"/>
          <w:lang w:eastAsia="en-US"/>
        </w:rPr>
      </w:pPr>
    </w:p>
    <w:p w14:paraId="15E7B925" w14:textId="3FCAAE1D" w:rsidR="00E82CFB" w:rsidRPr="00031AE8" w:rsidRDefault="00E82CFB" w:rsidP="00031AE8">
      <w:pPr>
        <w:rPr>
          <w:color w:val="0070C0"/>
          <w:lang w:eastAsia="en-US"/>
        </w:rPr>
      </w:pPr>
      <w:r w:rsidRPr="00031AE8">
        <w:rPr>
          <w:rFonts w:eastAsia="Times New Roman"/>
          <w:lang w:eastAsia="en-US"/>
        </w:rPr>
        <w:t>Review and accept accounts to 31/3/22 – MH</w:t>
      </w:r>
    </w:p>
    <w:p w14:paraId="059F35B8" w14:textId="77777777" w:rsidR="00031AE8" w:rsidRPr="00031AE8" w:rsidRDefault="00031AE8" w:rsidP="00031AE8">
      <w:pPr>
        <w:ind w:left="360"/>
        <w:rPr>
          <w:color w:val="0070C0"/>
          <w:lang w:eastAsia="en-US"/>
        </w:rPr>
      </w:pPr>
      <w:r w:rsidRPr="00031AE8">
        <w:rPr>
          <w:color w:val="0070C0"/>
          <w:lang w:eastAsia="en-US"/>
        </w:rPr>
        <w:t>Approved - attached</w:t>
      </w:r>
    </w:p>
    <w:p w14:paraId="75B68406" w14:textId="77777777" w:rsidR="00E82CFB" w:rsidRDefault="00E82CFB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All grants and share offer subscriptions repaid.</w:t>
      </w:r>
    </w:p>
    <w:p w14:paraId="75F3D43C" w14:textId="77777777" w:rsidR="00E82CFB" w:rsidRDefault="00E82CFB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£422 to be retained in dormant account</w:t>
      </w:r>
    </w:p>
    <w:p w14:paraId="2621FDF4" w14:textId="77777777" w:rsidR="00E82CFB" w:rsidRPr="00E82CFB" w:rsidRDefault="00E82CFB" w:rsidP="00E82CFB">
      <w:pPr>
        <w:ind w:left="360"/>
        <w:rPr>
          <w:color w:val="0070C0"/>
          <w:lang w:eastAsia="en-US"/>
        </w:rPr>
      </w:pPr>
      <w:r w:rsidRPr="00E82CFB">
        <w:rPr>
          <w:color w:val="0070C0"/>
          <w:lang w:eastAsia="en-US"/>
        </w:rPr>
        <w:t>VAT stopped - so that this doesn’t have to be submitted quarterly – waste of effort</w:t>
      </w:r>
    </w:p>
    <w:p w14:paraId="20F2D093" w14:textId="77777777" w:rsidR="00031AE8" w:rsidRDefault="00031AE8" w:rsidP="00031AE8">
      <w:pPr>
        <w:rPr>
          <w:rFonts w:eastAsia="Times New Roman"/>
          <w:lang w:eastAsia="en-US"/>
        </w:rPr>
      </w:pPr>
    </w:p>
    <w:p w14:paraId="1D2AA8A7" w14:textId="1A16BA87" w:rsidR="00E82CFB" w:rsidRPr="00031AE8" w:rsidRDefault="00E82CFB" w:rsidP="00031AE8">
      <w:pPr>
        <w:rPr>
          <w:rFonts w:eastAsia="Times New Roman"/>
          <w:lang w:eastAsia="en-US"/>
        </w:rPr>
      </w:pPr>
      <w:r w:rsidRPr="00031AE8">
        <w:rPr>
          <w:rFonts w:eastAsia="Times New Roman"/>
          <w:lang w:eastAsia="en-US"/>
        </w:rPr>
        <w:t xml:space="preserve">Agree </w:t>
      </w:r>
      <w:r w:rsidR="00031AE8">
        <w:rPr>
          <w:rFonts w:eastAsia="Times New Roman"/>
          <w:lang w:eastAsia="en-US"/>
        </w:rPr>
        <w:t>whether</w:t>
      </w:r>
      <w:r w:rsidRPr="00031AE8">
        <w:rPr>
          <w:rFonts w:eastAsia="Times New Roman"/>
          <w:lang w:eastAsia="en-US"/>
        </w:rPr>
        <w:t xml:space="preserve"> to appoint professional auditor of our accounts </w:t>
      </w:r>
      <w:r w:rsidR="00031AE8">
        <w:rPr>
          <w:rFonts w:eastAsia="Times New Roman"/>
          <w:lang w:eastAsia="en-US"/>
        </w:rPr>
        <w:t>or appoint l</w:t>
      </w:r>
      <w:r w:rsidRPr="00031AE8">
        <w:rPr>
          <w:rFonts w:eastAsia="Times New Roman"/>
          <w:lang w:eastAsia="en-US"/>
        </w:rPr>
        <w:t>ay audit</w:t>
      </w:r>
      <w:r w:rsidR="00031AE8">
        <w:rPr>
          <w:rFonts w:eastAsia="Times New Roman"/>
          <w:lang w:eastAsia="en-US"/>
        </w:rPr>
        <w:t>ors</w:t>
      </w:r>
      <w:r w:rsidRPr="00031AE8">
        <w:rPr>
          <w:rFonts w:eastAsia="Times New Roman"/>
          <w:lang w:eastAsia="en-US"/>
        </w:rPr>
        <w:t xml:space="preserve"> by two unconnected people (John Graves and Gina Antczak, both treasurers of other organisations, have agreed to act as lay auditors).</w:t>
      </w:r>
    </w:p>
    <w:p w14:paraId="0894C48C" w14:textId="74FE8DC7" w:rsidR="00E82CFB" w:rsidRDefault="00031AE8" w:rsidP="00E82CFB">
      <w:pPr>
        <w:ind w:left="360"/>
        <w:rPr>
          <w:color w:val="0070C0"/>
          <w:lang w:eastAsia="en-US"/>
        </w:rPr>
      </w:pPr>
      <w:r>
        <w:rPr>
          <w:color w:val="0070C0"/>
          <w:lang w:eastAsia="en-US"/>
        </w:rPr>
        <w:t>The committee c</w:t>
      </w:r>
      <w:r w:rsidR="00E82CFB">
        <w:rPr>
          <w:color w:val="0070C0"/>
          <w:lang w:eastAsia="en-US"/>
        </w:rPr>
        <w:t>hose to exercise right to no audit as allowed by our rules – amount of funding relatively small</w:t>
      </w:r>
      <w:r>
        <w:rPr>
          <w:color w:val="0070C0"/>
          <w:lang w:eastAsia="en-US"/>
        </w:rPr>
        <w:t xml:space="preserve"> and the</w:t>
      </w:r>
      <w:r w:rsidR="00E82CFB">
        <w:rPr>
          <w:color w:val="0070C0"/>
          <w:lang w:eastAsia="en-US"/>
        </w:rPr>
        <w:t xml:space="preserve"> society</w:t>
      </w:r>
      <w:r>
        <w:rPr>
          <w:color w:val="0070C0"/>
          <w:lang w:eastAsia="en-US"/>
        </w:rPr>
        <w:t xml:space="preserve"> is now</w:t>
      </w:r>
      <w:r w:rsidR="00E82CFB">
        <w:rPr>
          <w:color w:val="0070C0"/>
          <w:lang w:eastAsia="en-US"/>
        </w:rPr>
        <w:t xml:space="preserve"> dormant</w:t>
      </w:r>
      <w:r>
        <w:rPr>
          <w:color w:val="0070C0"/>
          <w:lang w:eastAsia="en-US"/>
        </w:rPr>
        <w:t>.</w:t>
      </w:r>
    </w:p>
    <w:p w14:paraId="2A7302B5" w14:textId="77777777" w:rsidR="00031AE8" w:rsidRDefault="00031AE8" w:rsidP="00031AE8">
      <w:pPr>
        <w:rPr>
          <w:rFonts w:eastAsia="Times New Roman"/>
          <w:lang w:eastAsia="en-US"/>
        </w:rPr>
      </w:pPr>
    </w:p>
    <w:p w14:paraId="4E44DE7A" w14:textId="13E3EFCB" w:rsidR="00E82CFB" w:rsidRPr="00031AE8" w:rsidRDefault="00E82CFB" w:rsidP="00031AE8">
      <w:pPr>
        <w:rPr>
          <w:rFonts w:eastAsia="Times New Roman"/>
          <w:lang w:eastAsia="en-US"/>
        </w:rPr>
      </w:pPr>
      <w:r w:rsidRPr="00031AE8">
        <w:rPr>
          <w:rFonts w:eastAsia="Times New Roman"/>
          <w:lang w:eastAsia="en-US"/>
        </w:rPr>
        <w:t>Any further actions needed.</w:t>
      </w:r>
    </w:p>
    <w:p w14:paraId="7FE49468" w14:textId="09DE1ABD" w:rsidR="008803C9" w:rsidRDefault="00E82CFB" w:rsidP="00031AE8">
      <w:pPr>
        <w:ind w:left="426"/>
        <w:rPr>
          <w:color w:val="0070C0"/>
          <w:lang w:eastAsia="en-US"/>
        </w:rPr>
      </w:pPr>
      <w:r w:rsidRPr="00031AE8">
        <w:rPr>
          <w:color w:val="0070C0"/>
          <w:lang w:eastAsia="en-US"/>
        </w:rPr>
        <w:t>ACV</w:t>
      </w:r>
      <w:r w:rsidR="00031AE8" w:rsidRPr="00031AE8">
        <w:rPr>
          <w:color w:val="0070C0"/>
          <w:lang w:eastAsia="en-US"/>
        </w:rPr>
        <w:t xml:space="preserve"> on Ian’s property</w:t>
      </w:r>
      <w:r w:rsidRPr="00031AE8">
        <w:rPr>
          <w:color w:val="0070C0"/>
          <w:lang w:eastAsia="en-US"/>
        </w:rPr>
        <w:t xml:space="preserve"> – </w:t>
      </w:r>
      <w:r w:rsidR="00031AE8" w:rsidRPr="00031AE8">
        <w:rPr>
          <w:color w:val="0070C0"/>
          <w:lang w:eastAsia="en-US"/>
        </w:rPr>
        <w:t>NFDC rather than BCS determine whether this remains in place. No action to be taken by EBCS</w:t>
      </w:r>
    </w:p>
    <w:p w14:paraId="6CB0CB0D" w14:textId="77777777" w:rsidR="00031AE8" w:rsidRDefault="00031AE8" w:rsidP="00031AE8">
      <w:pPr>
        <w:rPr>
          <w:color w:val="0070C0"/>
          <w:lang w:eastAsia="en-US"/>
        </w:rPr>
      </w:pPr>
    </w:p>
    <w:p w14:paraId="79DC7B65" w14:textId="77777777" w:rsidR="00031AE8" w:rsidRDefault="00031AE8" w:rsidP="00031AE8">
      <w:pPr>
        <w:rPr>
          <w:color w:val="0070C0"/>
          <w:lang w:eastAsia="en-US"/>
        </w:rPr>
      </w:pPr>
    </w:p>
    <w:p w14:paraId="16C3A7C5" w14:textId="77777777" w:rsidR="00031AE8" w:rsidRDefault="00031AE8" w:rsidP="00031AE8">
      <w:pPr>
        <w:rPr>
          <w:color w:val="000000" w:themeColor="text1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</w:tblGrid>
      <w:tr w:rsidR="00076E9E" w14:paraId="1FFBB47F" w14:textId="77777777" w:rsidTr="00076E9E">
        <w:tc>
          <w:tcPr>
            <w:tcW w:w="3005" w:type="dxa"/>
          </w:tcPr>
          <w:p w14:paraId="5A7A76DF" w14:textId="77777777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Founding member</w:t>
            </w:r>
          </w:p>
          <w:p w14:paraId="0D40BA3C" w14:textId="5E2EFA4D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Society Secretary</w:t>
            </w:r>
          </w:p>
          <w:p w14:paraId="0CE647C7" w14:textId="77777777" w:rsidR="00312D6B" w:rsidRDefault="00312D6B" w:rsidP="00031AE8">
            <w:pPr>
              <w:rPr>
                <w:color w:val="000000" w:themeColor="text1"/>
                <w:lang w:eastAsia="en-US"/>
              </w:rPr>
            </w:pPr>
          </w:p>
          <w:p w14:paraId="6D71E61A" w14:textId="25DC3B93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Rebecca Gabzdyl</w:t>
            </w:r>
          </w:p>
          <w:p w14:paraId="07353CAF" w14:textId="77777777" w:rsidR="00076E9E" w:rsidRPr="00031AE8" w:rsidRDefault="00076E9E" w:rsidP="00031AE8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14:ligatures w14:val="standardContextual"/>
              </w:rPr>
              <w:drawing>
                <wp:inline distT="0" distB="0" distL="0" distR="0" wp14:anchorId="2065B17C" wp14:editId="3C56413D">
                  <wp:extent cx="1343025" cy="585621"/>
                  <wp:effectExtent l="0" t="0" r="0" b="5080"/>
                  <wp:docPr id="1255450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5096" name="Picture 12554509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52" cy="58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DF670" w14:textId="77777777" w:rsidR="00076E9E" w:rsidRDefault="00076E9E" w:rsidP="00031A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05" w:type="dxa"/>
          </w:tcPr>
          <w:p w14:paraId="52FEC863" w14:textId="77777777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Founding member</w:t>
            </w:r>
          </w:p>
          <w:p w14:paraId="21B2F693" w14:textId="490B536F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Treasurer</w:t>
            </w:r>
          </w:p>
          <w:p w14:paraId="671495E8" w14:textId="77777777" w:rsidR="00312D6B" w:rsidRDefault="00312D6B" w:rsidP="00031AE8">
            <w:pPr>
              <w:rPr>
                <w:color w:val="000000" w:themeColor="text1"/>
                <w:lang w:eastAsia="en-US"/>
              </w:rPr>
            </w:pPr>
          </w:p>
          <w:p w14:paraId="5583FEBA" w14:textId="795C5ACE" w:rsidR="00076E9E" w:rsidRDefault="00076E9E" w:rsidP="00031AE8">
            <w:pPr>
              <w:rPr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298854D7" wp14:editId="3A7A73F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168910</wp:posOffset>
                  </wp:positionV>
                  <wp:extent cx="1480820" cy="503997"/>
                  <wp:effectExtent l="0" t="0" r="5080" b="0"/>
                  <wp:wrapNone/>
                  <wp:docPr id="964610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1012" name="Picture 964610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50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lang w:eastAsia="en-US"/>
              </w:rPr>
              <w:t>Mike Hawker</w:t>
            </w:r>
          </w:p>
        </w:tc>
      </w:tr>
    </w:tbl>
    <w:p w14:paraId="28A4BABF" w14:textId="77777777" w:rsidR="00031AE8" w:rsidRDefault="00031AE8" w:rsidP="00031AE8">
      <w:pPr>
        <w:rPr>
          <w:color w:val="000000" w:themeColor="text1"/>
          <w:lang w:eastAsia="en-US"/>
        </w:rPr>
      </w:pPr>
    </w:p>
    <w:p w14:paraId="0C683262" w14:textId="77777777" w:rsidR="00031AE8" w:rsidRDefault="00031AE8" w:rsidP="00031AE8">
      <w:pPr>
        <w:rPr>
          <w:color w:val="000000" w:themeColor="text1"/>
          <w:lang w:eastAsia="en-US"/>
        </w:rPr>
      </w:pPr>
    </w:p>
    <w:p w14:paraId="16483160" w14:textId="77777777" w:rsidR="00031AE8" w:rsidRPr="00031AE8" w:rsidRDefault="00031AE8">
      <w:pPr>
        <w:rPr>
          <w:color w:val="000000" w:themeColor="text1"/>
        </w:rPr>
      </w:pPr>
    </w:p>
    <w:sectPr w:rsidR="00031AE8" w:rsidRPr="00031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BF3"/>
    <w:multiLevelType w:val="hybridMultilevel"/>
    <w:tmpl w:val="C29A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FB"/>
    <w:rsid w:val="00031AE8"/>
    <w:rsid w:val="00076E9E"/>
    <w:rsid w:val="001319C8"/>
    <w:rsid w:val="00280B3E"/>
    <w:rsid w:val="00312D6B"/>
    <w:rsid w:val="008803C9"/>
    <w:rsid w:val="00E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11B9"/>
  <w15:chartTrackingRefBased/>
  <w15:docId w15:val="{38642A21-2035-41B0-855E-AA42FD0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F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FB"/>
    <w:pPr>
      <w:ind w:left="720"/>
    </w:pPr>
  </w:style>
  <w:style w:type="table" w:styleId="TableGrid">
    <w:name w:val="Table Grid"/>
    <w:basedOn w:val="TableNormal"/>
    <w:uiPriority w:val="39"/>
    <w:rsid w:val="0003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1167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Gabzdyl</dc:creator>
  <cp:keywords/>
  <dc:description/>
  <cp:lastModifiedBy>R Gabzdyl</cp:lastModifiedBy>
  <cp:revision>1</cp:revision>
  <dcterms:created xsi:type="dcterms:W3CDTF">2023-09-24T07:07:00Z</dcterms:created>
  <dcterms:modified xsi:type="dcterms:W3CDTF">2023-09-24T22:24:00Z</dcterms:modified>
</cp:coreProperties>
</file>